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41C87" w14:textId="2286956F" w:rsidR="002B6138" w:rsidRPr="0017189D" w:rsidRDefault="0017189D">
      <w:pPr>
        <w:rPr>
          <w:b/>
          <w:bCs/>
          <w:sz w:val="28"/>
          <w:szCs w:val="28"/>
        </w:rPr>
      </w:pPr>
      <w:r w:rsidRPr="0017189D">
        <w:rPr>
          <w:b/>
          <w:bCs/>
          <w:sz w:val="28"/>
          <w:szCs w:val="28"/>
        </w:rPr>
        <w:t xml:space="preserve">FC-003. </w:t>
      </w:r>
      <w:r w:rsidR="0011237F" w:rsidRPr="0017189D">
        <w:rPr>
          <w:b/>
          <w:bCs/>
          <w:sz w:val="28"/>
          <w:szCs w:val="28"/>
        </w:rPr>
        <w:t>Definiciones</w:t>
      </w:r>
      <w:r w:rsidRPr="0017189D">
        <w:rPr>
          <w:b/>
          <w:bCs/>
          <w:sz w:val="28"/>
          <w:szCs w:val="28"/>
        </w:rPr>
        <w:t xml:space="preserve"> para manejo de contactos</w:t>
      </w:r>
    </w:p>
    <w:p w14:paraId="7989516E" w14:textId="7D3F809F" w:rsidR="002549A9" w:rsidRDefault="002549A9">
      <w:pPr>
        <w:rPr>
          <w:i/>
          <w:iCs/>
        </w:rPr>
      </w:pPr>
      <w:r>
        <w:rPr>
          <w:i/>
          <w:iCs/>
        </w:rPr>
        <w:t>Coronavirus</w:t>
      </w:r>
    </w:p>
    <w:p w14:paraId="57C179D1" w14:textId="346B1F6B" w:rsidR="00C40D03" w:rsidRDefault="00A84E6B" w:rsidP="00C40D03">
      <w:r>
        <w:t>Los coronavirus (</w:t>
      </w:r>
      <w:proofErr w:type="spellStart"/>
      <w:r>
        <w:t>CoV</w:t>
      </w:r>
      <w:proofErr w:type="spellEnd"/>
      <w:r>
        <w:t>) son una amplia familia de virus, algunos de ellos causan enfermedad que se manifiesta desde un resfriado común hasta enfermedades mucho más severas como el MERS-</w:t>
      </w:r>
      <w:proofErr w:type="spellStart"/>
      <w:r>
        <w:t>CoV</w:t>
      </w:r>
      <w:proofErr w:type="spellEnd"/>
      <w:r>
        <w:t xml:space="preserve"> y SARS-</w:t>
      </w:r>
      <w:proofErr w:type="spellStart"/>
      <w:r>
        <w:t>CoV</w:t>
      </w:r>
      <w:proofErr w:type="spellEnd"/>
      <w:r>
        <w:t xml:space="preserve">. </w:t>
      </w:r>
    </w:p>
    <w:p w14:paraId="63425391" w14:textId="77777777" w:rsidR="00D20EF8" w:rsidRDefault="00D20EF8" w:rsidP="00C40D03">
      <w:pPr>
        <w:rPr>
          <w:i/>
          <w:iCs/>
        </w:rPr>
      </w:pPr>
    </w:p>
    <w:p w14:paraId="0CA11335" w14:textId="0001E1DC" w:rsidR="00C40D03" w:rsidRDefault="00C40D03" w:rsidP="00C40D03">
      <w:r>
        <w:rPr>
          <w:i/>
          <w:iCs/>
        </w:rPr>
        <w:t>SARS-CoV-2</w:t>
      </w:r>
    </w:p>
    <w:p w14:paraId="60C333B7" w14:textId="4CBC167A" w:rsidR="00C40D03" w:rsidRPr="00C40D03" w:rsidRDefault="00CA11B1" w:rsidP="00C40D03">
      <w:proofErr w:type="spellStart"/>
      <w:r w:rsidRPr="00B55EA5">
        <w:rPr>
          <w:i/>
          <w:iCs/>
        </w:rPr>
        <w:t>Severe</w:t>
      </w:r>
      <w:proofErr w:type="spellEnd"/>
      <w:r w:rsidRPr="00B55EA5">
        <w:rPr>
          <w:i/>
          <w:iCs/>
        </w:rPr>
        <w:t xml:space="preserve"> </w:t>
      </w:r>
      <w:proofErr w:type="spellStart"/>
      <w:r w:rsidRPr="00B55EA5">
        <w:rPr>
          <w:i/>
          <w:iCs/>
        </w:rPr>
        <w:t>acute</w:t>
      </w:r>
      <w:proofErr w:type="spellEnd"/>
      <w:r w:rsidRPr="00B55EA5">
        <w:rPr>
          <w:i/>
          <w:iCs/>
        </w:rPr>
        <w:t xml:space="preserve"> </w:t>
      </w:r>
      <w:proofErr w:type="spellStart"/>
      <w:r w:rsidRPr="00B55EA5">
        <w:rPr>
          <w:i/>
          <w:iCs/>
        </w:rPr>
        <w:t>respiratory</w:t>
      </w:r>
      <w:proofErr w:type="spellEnd"/>
      <w:r w:rsidRPr="00B55EA5">
        <w:rPr>
          <w:i/>
          <w:iCs/>
        </w:rPr>
        <w:t xml:space="preserve"> </w:t>
      </w:r>
      <w:proofErr w:type="spellStart"/>
      <w:r w:rsidR="00B55EA5" w:rsidRPr="00B55EA5">
        <w:rPr>
          <w:i/>
          <w:iCs/>
        </w:rPr>
        <w:t>syndrome</w:t>
      </w:r>
      <w:proofErr w:type="spellEnd"/>
      <w:r w:rsidRPr="00B55EA5">
        <w:rPr>
          <w:i/>
          <w:iCs/>
        </w:rPr>
        <w:t xml:space="preserve"> coronavirus 2</w:t>
      </w:r>
      <w:r w:rsidR="00B55EA5">
        <w:t>,</w:t>
      </w:r>
      <w:r>
        <w:t xml:space="preserve"> </w:t>
      </w:r>
      <w:r w:rsidR="00B55EA5">
        <w:t>c</w:t>
      </w:r>
      <w:r w:rsidR="00C40D03">
        <w:t xml:space="preserve">oronavirus </w:t>
      </w:r>
      <w:r>
        <w:t>de más reciente aparición</w:t>
      </w:r>
      <w:r w:rsidR="00531EB1">
        <w:t>, cuyas primeras descripciones se realizaron en diciembre de 2019 en la provincia china de Wuhan.</w:t>
      </w:r>
    </w:p>
    <w:p w14:paraId="47401211" w14:textId="77777777" w:rsidR="00D20EF8" w:rsidRDefault="00D20EF8" w:rsidP="00C40D03">
      <w:pPr>
        <w:rPr>
          <w:i/>
          <w:iCs/>
        </w:rPr>
      </w:pPr>
    </w:p>
    <w:p w14:paraId="52BEA293" w14:textId="406D96D4" w:rsidR="00746BFC" w:rsidRPr="00746BFC" w:rsidRDefault="00746BFC" w:rsidP="00C40D03">
      <w:pPr>
        <w:rPr>
          <w:i/>
          <w:iCs/>
        </w:rPr>
      </w:pPr>
      <w:r w:rsidRPr="00746BFC">
        <w:rPr>
          <w:i/>
          <w:iCs/>
        </w:rPr>
        <w:t>COVID-19</w:t>
      </w:r>
    </w:p>
    <w:p w14:paraId="7A378AA2" w14:textId="1AEC303A" w:rsidR="00746BFC" w:rsidRPr="00980E65" w:rsidRDefault="00746BFC" w:rsidP="00A84E6B">
      <w:r>
        <w:t>Enfermedad causada por el coronavirus SARS-CoV-2</w:t>
      </w:r>
      <w:r w:rsidR="00CC7845" w:rsidRPr="00CC7845">
        <w:t>, se transmite por contacto con otra que esté infectada por el virus. La enfermedad puede propagarse de persona a persona a través de las gotículas procedentes de la nariz o la boca que</w:t>
      </w:r>
      <w:r w:rsidR="000C70A3">
        <w:t xml:space="preserve"> </w:t>
      </w:r>
      <w:r w:rsidR="000C70A3" w:rsidRPr="000C70A3">
        <w:t>salen despedidas cuando una persona infectada habla, tose o estornuda, también si estas gotas caen sobre los objetos y superficies que rodean a la persona, de modo que otras personas pueden tocar estos objetos o superficies y luego se tocan los ojos, la nariz o la boca</w:t>
      </w:r>
    </w:p>
    <w:p w14:paraId="78326585" w14:textId="77777777" w:rsidR="00D20EF8" w:rsidRDefault="00D20EF8">
      <w:pPr>
        <w:rPr>
          <w:i/>
          <w:iCs/>
        </w:rPr>
      </w:pPr>
    </w:p>
    <w:p w14:paraId="53FA89CE" w14:textId="77043A02" w:rsidR="0011237F" w:rsidRDefault="0011237F">
      <w:pPr>
        <w:rPr>
          <w:i/>
          <w:iCs/>
        </w:rPr>
      </w:pPr>
      <w:r w:rsidRPr="0011237F">
        <w:rPr>
          <w:i/>
          <w:iCs/>
        </w:rPr>
        <w:t>Caso sospechoso</w:t>
      </w:r>
    </w:p>
    <w:p w14:paraId="009E4418" w14:textId="5E34A398" w:rsidR="003D0626" w:rsidRDefault="003D0626" w:rsidP="00501F55">
      <w:pPr>
        <w:pStyle w:val="ListParagraph"/>
        <w:numPr>
          <w:ilvl w:val="0"/>
          <w:numId w:val="13"/>
        </w:numPr>
      </w:pPr>
      <w:r>
        <w:t>Persona que cumple con los criterios y epidemiológicos:</w:t>
      </w:r>
    </w:p>
    <w:p w14:paraId="52A6F1A8" w14:textId="7B2D028F" w:rsidR="003D0626" w:rsidRDefault="003D0626" w:rsidP="00F054A5">
      <w:pPr>
        <w:pStyle w:val="ListParagraph"/>
        <w:numPr>
          <w:ilvl w:val="0"/>
          <w:numId w:val="14"/>
        </w:numPr>
        <w:spacing w:before="240"/>
      </w:pPr>
      <w:r>
        <w:t>Criterios Clínicos</w:t>
      </w:r>
    </w:p>
    <w:p w14:paraId="6991A8ED" w14:textId="7358B03B" w:rsidR="003D0626" w:rsidRDefault="003D0626" w:rsidP="003A7D7E">
      <w:pPr>
        <w:pStyle w:val="ListParagraph"/>
        <w:numPr>
          <w:ilvl w:val="0"/>
          <w:numId w:val="15"/>
        </w:numPr>
      </w:pPr>
      <w:r>
        <w:t xml:space="preserve">Aparición súbita de fiebre y tos; </w:t>
      </w:r>
    </w:p>
    <w:p w14:paraId="140A6ACF" w14:textId="77777777" w:rsidR="003D0626" w:rsidRDefault="003D0626" w:rsidP="003A7D7E">
      <w:pPr>
        <w:ind w:left="708" w:firstLine="708"/>
      </w:pPr>
      <w:r>
        <w:t>o</w:t>
      </w:r>
    </w:p>
    <w:p w14:paraId="6EB05173" w14:textId="24397441" w:rsidR="003D0626" w:rsidRDefault="003D0626" w:rsidP="003A7D7E">
      <w:pPr>
        <w:pStyle w:val="ListParagraph"/>
        <w:numPr>
          <w:ilvl w:val="0"/>
          <w:numId w:val="15"/>
        </w:numPr>
      </w:pPr>
      <w:r>
        <w:t>Aparición súbita de tres o más signos o síntomas de la lista siguiente: fiebre, tos, debilidad general/fatiga, cefalea, mialgia, dolor de garganta, congestión nasal, anorexia/náuseas/vómitos, diarrea, estado mental alterado.</w:t>
      </w:r>
    </w:p>
    <w:p w14:paraId="7D31A933" w14:textId="3AE6FD40" w:rsidR="003D0626" w:rsidRDefault="003D0626" w:rsidP="003A7D7E">
      <w:pPr>
        <w:pStyle w:val="ListParagraph"/>
        <w:numPr>
          <w:ilvl w:val="0"/>
          <w:numId w:val="14"/>
        </w:numPr>
      </w:pPr>
      <w:r>
        <w:t>Criterios epidemiológicos (Debe cumplir al menos uno de los siguientes criterios</w:t>
      </w:r>
      <w:r w:rsidR="008A0E2A">
        <w:rPr>
          <w:rStyle w:val="FootnoteReference"/>
        </w:rPr>
        <w:footnoteReference w:id="1"/>
      </w:r>
      <w:r>
        <w:t>)</w:t>
      </w:r>
    </w:p>
    <w:p w14:paraId="7535169D" w14:textId="5F4B739E" w:rsidR="003D0626" w:rsidRDefault="003D0626" w:rsidP="003A7D7E">
      <w:pPr>
        <w:pStyle w:val="ListParagraph"/>
        <w:numPr>
          <w:ilvl w:val="0"/>
          <w:numId w:val="16"/>
        </w:numPr>
      </w:pPr>
      <w:r>
        <w:t xml:space="preserve">No tener otra etiología que explique completamente la presentación clínica del evento. </w:t>
      </w:r>
    </w:p>
    <w:p w14:paraId="10B18671" w14:textId="7DBC0F2A" w:rsidR="003D0626" w:rsidRDefault="003D0626" w:rsidP="003A7D7E">
      <w:pPr>
        <w:pStyle w:val="ListParagraph"/>
        <w:numPr>
          <w:ilvl w:val="0"/>
          <w:numId w:val="16"/>
        </w:numPr>
      </w:pPr>
      <w:r>
        <w:t>Un historial de viaje fuera del país en los 14 días previos al inicio de los síntomas.</w:t>
      </w:r>
    </w:p>
    <w:p w14:paraId="057F44D7" w14:textId="76BBF24C" w:rsidR="003D0626" w:rsidRDefault="003D0626" w:rsidP="003A7D7E">
      <w:pPr>
        <w:pStyle w:val="ListParagraph"/>
        <w:numPr>
          <w:ilvl w:val="0"/>
          <w:numId w:val="16"/>
        </w:numPr>
      </w:pPr>
      <w:r>
        <w:t xml:space="preserve">Historial de haber frecuentado un distrito o cantón (de la lista que estará disponible en la página web del Ministerio de Salud) que se encuentre en alerta naranja en los 14 días previos al inicio de síntomas. </w:t>
      </w:r>
    </w:p>
    <w:p w14:paraId="7E80B0E3" w14:textId="0A984740" w:rsidR="003D0626" w:rsidRDefault="003D0626" w:rsidP="003A7D7E">
      <w:pPr>
        <w:pStyle w:val="ListParagraph"/>
        <w:numPr>
          <w:ilvl w:val="0"/>
          <w:numId w:val="16"/>
        </w:numPr>
      </w:pPr>
      <w:r>
        <w:t xml:space="preserve">Antecedente de haber iniciado el cuadro clínico ya descrito en los 14 días posteriores de haber estado en contacto cercano: </w:t>
      </w:r>
    </w:p>
    <w:p w14:paraId="2A0EEAEE" w14:textId="39E4F893" w:rsidR="003D0626" w:rsidRDefault="003D0626" w:rsidP="003A7D7E">
      <w:pPr>
        <w:pStyle w:val="ListParagraph"/>
        <w:numPr>
          <w:ilvl w:val="1"/>
          <w:numId w:val="16"/>
        </w:numPr>
      </w:pPr>
      <w:r>
        <w:lastRenderedPageBreak/>
        <w:t>Con alguna persona con historial de viaje fuera del país en los últimos 14 días de haber ocurrido ese contacto.</w:t>
      </w:r>
    </w:p>
    <w:p w14:paraId="195766AF" w14:textId="62AB5424" w:rsidR="003D0626" w:rsidRDefault="003D0626" w:rsidP="003A7D7E">
      <w:pPr>
        <w:pStyle w:val="ListParagraph"/>
        <w:numPr>
          <w:ilvl w:val="1"/>
          <w:numId w:val="16"/>
        </w:numPr>
      </w:pPr>
      <w:r>
        <w:t>Con alguna persona que haya sido contacto directo (en el posible período de cuarentena de esta última) de un caso confirmado</w:t>
      </w:r>
    </w:p>
    <w:p w14:paraId="2F85502B" w14:textId="77777777" w:rsidR="00D20EF8" w:rsidRDefault="00D20EF8" w:rsidP="00D20EF8">
      <w:pPr>
        <w:pStyle w:val="ListParagraph"/>
        <w:spacing w:before="240"/>
      </w:pPr>
    </w:p>
    <w:p w14:paraId="490B0038" w14:textId="694FA54C" w:rsidR="003D0626" w:rsidRDefault="003D0626" w:rsidP="00F054A5">
      <w:pPr>
        <w:pStyle w:val="ListParagraph"/>
        <w:numPr>
          <w:ilvl w:val="0"/>
          <w:numId w:val="13"/>
        </w:numPr>
        <w:spacing w:before="240"/>
      </w:pPr>
      <w:r>
        <w:t xml:space="preserve">Persona con infección respiratoria aguda grave (IRAG). </w:t>
      </w:r>
    </w:p>
    <w:p w14:paraId="64EC0BC2" w14:textId="77777777" w:rsidR="00D20EF8" w:rsidRDefault="00D20EF8" w:rsidP="00D20EF8">
      <w:pPr>
        <w:pStyle w:val="ListParagraph"/>
        <w:spacing w:before="240"/>
      </w:pPr>
    </w:p>
    <w:p w14:paraId="46144A79" w14:textId="3827F2B7" w:rsidR="003D0626" w:rsidRDefault="003D0626" w:rsidP="003A7D7E">
      <w:pPr>
        <w:pStyle w:val="ListParagraph"/>
        <w:numPr>
          <w:ilvl w:val="0"/>
          <w:numId w:val="13"/>
        </w:numPr>
      </w:pPr>
      <w:r>
        <w:t>Una persona con anosmia (pérdida del sentido del olfato) o disgeusia reciente (cambio en la percepción del gusto), sin otra etiología que explique la presentación clínica.</w:t>
      </w:r>
    </w:p>
    <w:p w14:paraId="6F97224E" w14:textId="77777777" w:rsidR="00D20EF8" w:rsidRDefault="00D20EF8" w:rsidP="00D20EF8">
      <w:pPr>
        <w:pStyle w:val="ListParagraph"/>
      </w:pPr>
    </w:p>
    <w:p w14:paraId="5AA18E36" w14:textId="6B19AAAD" w:rsidR="00D20EF8" w:rsidRDefault="003D0626" w:rsidP="00D20EF8">
      <w:pPr>
        <w:pStyle w:val="ListParagraph"/>
        <w:numPr>
          <w:ilvl w:val="0"/>
          <w:numId w:val="13"/>
        </w:numPr>
        <w:spacing w:before="240"/>
      </w:pPr>
      <w:r>
        <w:t>Persona con enfermedad respiratoria aguda de cualquier grado de severidad, que dentro de los 14 días anteriores al inicio de la enfermedad tuvo contacto físico cercano con un caso confirmado, probable, sospechoso o visitó/laboró en un centro médico público o privado.</w:t>
      </w:r>
    </w:p>
    <w:p w14:paraId="52B59FC4" w14:textId="77777777" w:rsidR="00D20EF8" w:rsidRDefault="00D20EF8" w:rsidP="00D20EF8">
      <w:pPr>
        <w:pStyle w:val="ListParagraph"/>
        <w:spacing w:before="240"/>
      </w:pPr>
    </w:p>
    <w:p w14:paraId="0297FBA8" w14:textId="31181884" w:rsidR="00C7357A" w:rsidRDefault="00C7357A" w:rsidP="001A5876">
      <w:pPr>
        <w:pStyle w:val="ListParagraph"/>
        <w:numPr>
          <w:ilvl w:val="0"/>
          <w:numId w:val="18"/>
        </w:numPr>
      </w:pPr>
      <w:r>
        <w:t xml:space="preserve">Dentro de las manifestaciones de la enfermedad se pueden incluir signos dermatológicos tales como: brotes </w:t>
      </w:r>
      <w:proofErr w:type="spellStart"/>
      <w:r>
        <w:t>morbiliformes</w:t>
      </w:r>
      <w:proofErr w:type="spellEnd"/>
      <w:r>
        <w:t xml:space="preserve">, urticaria generalizada, lesiones </w:t>
      </w:r>
      <w:proofErr w:type="spellStart"/>
      <w:r>
        <w:t>vasculiticas</w:t>
      </w:r>
      <w:proofErr w:type="spellEnd"/>
      <w:r>
        <w:t xml:space="preserve">, palidez – cianosis en pulpejos, labios y lengua, </w:t>
      </w:r>
      <w:proofErr w:type="spellStart"/>
      <w:r>
        <w:t>acroisquemias</w:t>
      </w:r>
      <w:proofErr w:type="spellEnd"/>
      <w:r>
        <w:t xml:space="preserve">, </w:t>
      </w:r>
      <w:proofErr w:type="spellStart"/>
      <w:r>
        <w:t>livedo</w:t>
      </w:r>
      <w:proofErr w:type="spellEnd"/>
      <w:r>
        <w:t xml:space="preserve"> </w:t>
      </w:r>
      <w:proofErr w:type="spellStart"/>
      <w:r>
        <w:t>reticularis</w:t>
      </w:r>
      <w:proofErr w:type="spellEnd"/>
      <w:r>
        <w:t xml:space="preserve">, exantema </w:t>
      </w:r>
      <w:proofErr w:type="spellStart"/>
      <w:r>
        <w:t>variceliforme</w:t>
      </w:r>
      <w:proofErr w:type="spellEnd"/>
      <w:r>
        <w:t xml:space="preserve">, prurito generalizado, brote eritematoso </w:t>
      </w:r>
      <w:proofErr w:type="spellStart"/>
      <w:r>
        <w:t>morbiliforme</w:t>
      </w:r>
      <w:proofErr w:type="spellEnd"/>
      <w:r>
        <w:t>, entre otras. Por lo que es importante tomarlas en cuenta en el momento de hacer las evaluaciones de los pacientes sospechosos por COVID-19 - Para el caso del Síndrome Inflamatorio Multisistémico en Niños y Adolescentes relacionado cronológicamente con COVID-19 (denominado MIS-C o PIMS en la literatura en inglés), referirse al Lineamiento Nacional para la Vigilancia del Síndrome Inflamatorio Multisistémico en Niños y Adolescentes.</w:t>
      </w:r>
    </w:p>
    <w:p w14:paraId="6698AD89" w14:textId="77777777" w:rsidR="00D20EF8" w:rsidRDefault="00D20EF8" w:rsidP="00D20EF8">
      <w:pPr>
        <w:pStyle w:val="ListParagraph"/>
      </w:pPr>
    </w:p>
    <w:p w14:paraId="1B9E0BEA" w14:textId="06D64EC6" w:rsidR="00C7357A" w:rsidRDefault="00C7357A" w:rsidP="001A5876">
      <w:pPr>
        <w:pStyle w:val="ListParagraph"/>
        <w:numPr>
          <w:ilvl w:val="0"/>
          <w:numId w:val="18"/>
        </w:numPr>
      </w:pPr>
      <w:r>
        <w:t xml:space="preserve">En el caso de la persona adulta mayor se deben considerar también síntomas inespecíficos como fatiga, desorientación o estado de alerta reducido, movilidad reducida, malestar general, diarrea, nausea, vomito, pérdida de apetito, delirio, artralgias, hematuria. Este grupo de edad puede tener ausencia de fiebre o con hipoxemia silente. </w:t>
      </w:r>
    </w:p>
    <w:p w14:paraId="049DFEAC" w14:textId="440F4AD5" w:rsidR="00385829" w:rsidRDefault="00385829">
      <w:r>
        <w:rPr>
          <w:i/>
          <w:iCs/>
        </w:rPr>
        <w:t>Caso probable</w:t>
      </w:r>
    </w:p>
    <w:p w14:paraId="1272CE7A" w14:textId="4385B2FD" w:rsidR="00B37041" w:rsidRDefault="00B37041" w:rsidP="00B37041">
      <w:pPr>
        <w:pStyle w:val="ListParagraph"/>
        <w:numPr>
          <w:ilvl w:val="0"/>
          <w:numId w:val="10"/>
        </w:numPr>
      </w:pPr>
      <w:r>
        <w:t>Un caso sospechoso para quien la prueba para el virus COVID-19 no es concluyente; o</w:t>
      </w:r>
    </w:p>
    <w:p w14:paraId="5967D072" w14:textId="3B364B4D" w:rsidR="00B37041" w:rsidRDefault="00B37041" w:rsidP="00B37041">
      <w:pPr>
        <w:pStyle w:val="ListParagraph"/>
        <w:numPr>
          <w:ilvl w:val="0"/>
          <w:numId w:val="10"/>
        </w:numPr>
      </w:pPr>
      <w:r>
        <w:t>Un caso sospechoso para quien la prueba no pudo realizarse por algún motivo.</w:t>
      </w:r>
    </w:p>
    <w:p w14:paraId="7EB4931B" w14:textId="5C15E801" w:rsidR="00B37041" w:rsidRDefault="00B37041" w:rsidP="00B37041">
      <w:pPr>
        <w:pStyle w:val="ListParagraph"/>
        <w:numPr>
          <w:ilvl w:val="0"/>
          <w:numId w:val="10"/>
        </w:numPr>
      </w:pPr>
      <w:r>
        <w:t xml:space="preserve">Un caso sospechoso para quien la prueba molecular (RT-PCR) es negativa o no se pudo realizar y el paciente tiene signos indicativos de COVID-19 en las imágenes diagnósticas del tórax. </w:t>
      </w:r>
    </w:p>
    <w:p w14:paraId="19B69D7B" w14:textId="0DC431D5" w:rsidR="00385829" w:rsidRDefault="00385829"/>
    <w:p w14:paraId="3AB86A0F" w14:textId="1AF768FD" w:rsidR="00385829" w:rsidRPr="00385829" w:rsidRDefault="00385829">
      <w:pPr>
        <w:rPr>
          <w:i/>
          <w:iCs/>
        </w:rPr>
      </w:pPr>
      <w:r>
        <w:rPr>
          <w:i/>
          <w:iCs/>
        </w:rPr>
        <w:t>Caso confirmado</w:t>
      </w:r>
    </w:p>
    <w:p w14:paraId="528F08A2" w14:textId="77777777" w:rsidR="00173EA3" w:rsidRDefault="00173EA3" w:rsidP="00173EA3">
      <w:r>
        <w:t>Es aquel que cumple alguna de las siguientes dos condiciones:</w:t>
      </w:r>
    </w:p>
    <w:p w14:paraId="544B211E" w14:textId="0A465609" w:rsidR="00173EA3" w:rsidRDefault="00173EA3" w:rsidP="005871AA">
      <w:pPr>
        <w:pStyle w:val="ListParagraph"/>
        <w:numPr>
          <w:ilvl w:val="0"/>
          <w:numId w:val="20"/>
        </w:numPr>
      </w:pPr>
      <w:r>
        <w:t xml:space="preserve">Caso confirmado por laboratorio: se refiere a persona que se le ha detectado el virus que causa la enfermedad de COVID 19 independientemente de sus signos y síntomas clínicos, mediante alguno de los siguientes métodos: o RT-PCR capaz de identificar SARS - CoV-2 (autorizadas por una entidad regulatoria externa como FDA o su equivalente) realizada en los laboratorios públicos y privados que cuenten con una autorización del Ministerio de </w:t>
      </w:r>
      <w:r>
        <w:lastRenderedPageBreak/>
        <w:t xml:space="preserve">Salud. o Pruebas de antígeno realizadas en los servicios de atención únicamente de la CCSS según lo dispuesto en los Lineamientos generales para el uso de pruebas de antígeno para diagnóstico de COVID-19 (LS-SS-012). </w:t>
      </w:r>
    </w:p>
    <w:p w14:paraId="475F5503" w14:textId="77777777" w:rsidR="00D20EF8" w:rsidRDefault="00D20EF8" w:rsidP="00D20EF8">
      <w:pPr>
        <w:pStyle w:val="ListParagraph"/>
        <w:ind w:left="405"/>
      </w:pPr>
    </w:p>
    <w:p w14:paraId="614255D0" w14:textId="25651BD6" w:rsidR="00173EA3" w:rsidRDefault="00173EA3" w:rsidP="005871AA">
      <w:pPr>
        <w:pStyle w:val="ListParagraph"/>
        <w:numPr>
          <w:ilvl w:val="0"/>
          <w:numId w:val="20"/>
        </w:numPr>
      </w:pPr>
      <w:r>
        <w:t xml:space="preserve">Caso confirmado por nexo epidemiológico: las personas que residan en el domicilio2 de un caso confirmado por laboratorio y que desarrollen síntomas respiratorios durante los 14 días posteriores al último día de contacto cercano con la persona contagiada. (Para estas personas no será necesario realizar prueba PCR – RT, salvo que requieran hospitalización o fallezcan) </w:t>
      </w:r>
    </w:p>
    <w:p w14:paraId="67A66F2F" w14:textId="77777777" w:rsidR="00D20EF8" w:rsidRDefault="00D20EF8">
      <w:pPr>
        <w:rPr>
          <w:i/>
          <w:iCs/>
        </w:rPr>
      </w:pPr>
    </w:p>
    <w:p w14:paraId="3C10B93F" w14:textId="00B2D51D" w:rsidR="0073679A" w:rsidRDefault="00173EA3">
      <w:r>
        <w:rPr>
          <w:i/>
          <w:iCs/>
        </w:rPr>
        <w:t>Definición de IRAG</w:t>
      </w:r>
      <w:r w:rsidR="0073679A">
        <w:t xml:space="preserve">: </w:t>
      </w:r>
    </w:p>
    <w:p w14:paraId="56301BB4" w14:textId="689F692C" w:rsidR="00173EA3" w:rsidRDefault="0073679A">
      <w:r>
        <w:t>La persona se clasifica como IRAG si presenta:</w:t>
      </w:r>
    </w:p>
    <w:p w14:paraId="49245A18" w14:textId="3C4F734E" w:rsidR="00976082" w:rsidRDefault="00976082" w:rsidP="005871AA">
      <w:pPr>
        <w:pStyle w:val="ListParagraph"/>
        <w:numPr>
          <w:ilvl w:val="0"/>
          <w:numId w:val="21"/>
        </w:numPr>
      </w:pPr>
      <w:r>
        <w:t>Historia de fiebre o fiebre de 38°C o más y,</w:t>
      </w:r>
    </w:p>
    <w:p w14:paraId="12A11F17" w14:textId="4F074782" w:rsidR="00976082" w:rsidRDefault="00976082" w:rsidP="005871AA">
      <w:pPr>
        <w:pStyle w:val="ListParagraph"/>
        <w:numPr>
          <w:ilvl w:val="0"/>
          <w:numId w:val="21"/>
        </w:numPr>
      </w:pPr>
      <w:r>
        <w:t>Dolor de garganta o tos y,</w:t>
      </w:r>
    </w:p>
    <w:p w14:paraId="4A327D10" w14:textId="654F2DB3" w:rsidR="00976082" w:rsidRDefault="00976082" w:rsidP="005871AA">
      <w:pPr>
        <w:pStyle w:val="ListParagraph"/>
        <w:numPr>
          <w:ilvl w:val="0"/>
          <w:numId w:val="21"/>
        </w:numPr>
      </w:pPr>
      <w:r>
        <w:t xml:space="preserve">Disnea o dificultad respiratoria y, </w:t>
      </w:r>
    </w:p>
    <w:p w14:paraId="0DF4A223" w14:textId="29992650" w:rsidR="00976082" w:rsidRDefault="00976082" w:rsidP="005871AA">
      <w:pPr>
        <w:pStyle w:val="ListParagraph"/>
        <w:numPr>
          <w:ilvl w:val="0"/>
          <w:numId w:val="21"/>
        </w:numPr>
      </w:pPr>
      <w:r>
        <w:t>Con aparición dentro de los últimos 10 días, y</w:t>
      </w:r>
    </w:p>
    <w:p w14:paraId="7CFCCB96" w14:textId="735F8F52" w:rsidR="00976082" w:rsidRDefault="00976082" w:rsidP="005871AA">
      <w:pPr>
        <w:pStyle w:val="ListParagraph"/>
        <w:numPr>
          <w:ilvl w:val="0"/>
          <w:numId w:val="21"/>
        </w:numPr>
      </w:pPr>
      <w:r>
        <w:t>Necesidad de hospitalización (según criterios establecidos en el Protocolo Nacional de Vigilancia de la persona con Influenza y otras virosis)</w:t>
      </w:r>
    </w:p>
    <w:p w14:paraId="41D67E25" w14:textId="77777777" w:rsidR="00173EA3" w:rsidRPr="00173EA3" w:rsidRDefault="00173EA3"/>
    <w:p w14:paraId="13CBD7B0" w14:textId="389F8484" w:rsidR="0011237F" w:rsidRPr="0011237F" w:rsidRDefault="0011237F">
      <w:pPr>
        <w:rPr>
          <w:i/>
          <w:iCs/>
        </w:rPr>
      </w:pPr>
      <w:r w:rsidRPr="0011237F">
        <w:rPr>
          <w:i/>
          <w:iCs/>
        </w:rPr>
        <w:t>Contacto cercano</w:t>
      </w:r>
    </w:p>
    <w:p w14:paraId="5AAB9FAE" w14:textId="7BCBA5BC" w:rsidR="0011237F" w:rsidRDefault="0011237F">
      <w:r>
        <w:t>Se define como contacto cercano de un caso sospechoso, probable o confirmado por COVID-19 a aquella persona que, sin utilizar las medidas de protección adecuadas tenga alguna de las siguientes condiciones:</w:t>
      </w:r>
    </w:p>
    <w:p w14:paraId="637EFE10" w14:textId="77777777" w:rsidR="0011237F" w:rsidRDefault="0011237F" w:rsidP="0011237F">
      <w:pPr>
        <w:pStyle w:val="ListParagraph"/>
        <w:numPr>
          <w:ilvl w:val="0"/>
          <w:numId w:val="2"/>
        </w:numPr>
      </w:pPr>
      <w:r>
        <w:t xml:space="preserve">Haya proporcionado cuidados a un caso sospechoso, probable o confirmado </w:t>
      </w:r>
      <w:r w:rsidRPr="0011237F">
        <w:rPr>
          <w:b/>
          <w:bCs/>
        </w:rPr>
        <w:t>sintomático</w:t>
      </w:r>
      <w:r>
        <w:t xml:space="preserve">, ya sea en el entorno doméstico o de atención de salud. </w:t>
      </w:r>
    </w:p>
    <w:p w14:paraId="19E5A9C5" w14:textId="23F41D74" w:rsidR="0011237F" w:rsidRDefault="0011237F" w:rsidP="0011237F">
      <w:pPr>
        <w:pStyle w:val="ListParagraph"/>
        <w:numPr>
          <w:ilvl w:val="0"/>
          <w:numId w:val="2"/>
        </w:numPr>
      </w:pPr>
      <w:r>
        <w:t xml:space="preserve">Haya tenido exposición en forma directa a moco o saliva de una persona sospechosa, probable o confirmada positiva </w:t>
      </w:r>
      <w:r w:rsidRPr="0011237F">
        <w:rPr>
          <w:b/>
          <w:bCs/>
        </w:rPr>
        <w:t>sintomática</w:t>
      </w:r>
      <w:r>
        <w:t xml:space="preserve">, ya sea producida por un estornudo o tosido, o por beso, o alimentos o utensilios de alimentación compartidos. </w:t>
      </w:r>
    </w:p>
    <w:p w14:paraId="1AAEAB02" w14:textId="08430B86" w:rsidR="0011237F" w:rsidRDefault="0011237F" w:rsidP="0011237F">
      <w:pPr>
        <w:pStyle w:val="ListParagraph"/>
        <w:numPr>
          <w:ilvl w:val="0"/>
          <w:numId w:val="2"/>
        </w:numPr>
      </w:pPr>
      <w:r>
        <w:t xml:space="preserve">Haya estado cara a cara con un caso sospechoso, probable o confirmado de COVID-19 a menos de 1.8 metros de distancia y por más de 15 minutos. </w:t>
      </w:r>
    </w:p>
    <w:p w14:paraId="39E3274C" w14:textId="057F2EEC" w:rsidR="0011237F" w:rsidRDefault="0011237F" w:rsidP="0011237F">
      <w:pPr>
        <w:pStyle w:val="ListParagraph"/>
        <w:numPr>
          <w:ilvl w:val="0"/>
          <w:numId w:val="2"/>
        </w:numPr>
      </w:pPr>
      <w:r>
        <w:t xml:space="preserve">Haya estado en un lugar cerrado (aula, oficina, sala de sesiones, área de espera o habitación) con un caso sospechoso, probable o confirmado sintomático a una distancia menor de 1.8 metros, por un período mayor o igual a 15 minutos </w:t>
      </w:r>
    </w:p>
    <w:p w14:paraId="4EA20C91" w14:textId="43258F4C" w:rsidR="0011237F" w:rsidRDefault="0011237F" w:rsidP="0011237F">
      <w:pPr>
        <w:pStyle w:val="ListParagraph"/>
        <w:numPr>
          <w:ilvl w:val="0"/>
          <w:numId w:val="2"/>
        </w:numPr>
      </w:pPr>
      <w:r>
        <w:t xml:space="preserve">En el entorno de un avión, pasajeros situados en un radio de dos asientos alrededor de un caso sintomático o la tripulación que brindó atención directa durante el vuelo a dicha persona. </w:t>
      </w:r>
    </w:p>
    <w:p w14:paraId="12F732D9" w14:textId="30667950" w:rsidR="0011237F" w:rsidRDefault="0011237F" w:rsidP="0011237F"/>
    <w:p w14:paraId="6648BAAA" w14:textId="77777777" w:rsidR="0011237F" w:rsidRPr="0011237F" w:rsidRDefault="0011237F" w:rsidP="0011237F"/>
    <w:sectPr w:rsidR="0011237F" w:rsidRPr="0011237F" w:rsidSect="001C6D4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7BDBD" w14:textId="77777777" w:rsidR="00E07A3B" w:rsidRDefault="00E07A3B" w:rsidP="00385829">
      <w:pPr>
        <w:spacing w:after="0" w:line="240" w:lineRule="auto"/>
      </w:pPr>
      <w:r>
        <w:separator/>
      </w:r>
    </w:p>
  </w:endnote>
  <w:endnote w:type="continuationSeparator" w:id="0">
    <w:p w14:paraId="7F04C5B2" w14:textId="77777777" w:rsidR="00E07A3B" w:rsidRDefault="00E07A3B" w:rsidP="0038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642D2" w14:textId="77777777" w:rsidR="00E07A3B" w:rsidRDefault="00E07A3B" w:rsidP="00385829">
      <w:pPr>
        <w:spacing w:after="0" w:line="240" w:lineRule="auto"/>
      </w:pPr>
      <w:r>
        <w:separator/>
      </w:r>
    </w:p>
  </w:footnote>
  <w:footnote w:type="continuationSeparator" w:id="0">
    <w:p w14:paraId="736032F1" w14:textId="77777777" w:rsidR="00E07A3B" w:rsidRDefault="00E07A3B" w:rsidP="00385829">
      <w:pPr>
        <w:spacing w:after="0" w:line="240" w:lineRule="auto"/>
      </w:pPr>
      <w:r>
        <w:continuationSeparator/>
      </w:r>
    </w:p>
  </w:footnote>
  <w:footnote w:id="1">
    <w:p w14:paraId="3F1591C5" w14:textId="4EC11744" w:rsidR="008A0E2A" w:rsidRPr="00E926CC" w:rsidRDefault="008A0E2A">
      <w:pPr>
        <w:pStyle w:val="FootnoteText"/>
      </w:pPr>
      <w:r>
        <w:rPr>
          <w:rStyle w:val="FootnoteReference"/>
        </w:rPr>
        <w:footnoteRef/>
      </w:r>
      <w:r>
        <w:t xml:space="preserve"> </w:t>
      </w:r>
      <w:r w:rsidR="00E926CC">
        <w:t>La búsqueda de otros virus respiratorios no será requisito para hacer la prueba por COVID-19. Independientemente de los criterios de clasificación de caso, si el médico tratante considera que existen suficientes sospechas clínicas y/o epidemiológicas, podrá definir la necesidad de tomar la prueba por COVID-19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0A10"/>
    <w:multiLevelType w:val="hybridMultilevel"/>
    <w:tmpl w:val="5AF4C802"/>
    <w:lvl w:ilvl="0" w:tplc="229E5C2C">
      <w:start w:val="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8C87E6B"/>
    <w:multiLevelType w:val="hybridMultilevel"/>
    <w:tmpl w:val="C8BC58DC"/>
    <w:lvl w:ilvl="0" w:tplc="F5B01DAE">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 w15:restartNumberingAfterBreak="0">
    <w:nsid w:val="0F2D749B"/>
    <w:multiLevelType w:val="hybridMultilevel"/>
    <w:tmpl w:val="43741F5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18A93D26"/>
    <w:multiLevelType w:val="hybridMultilevel"/>
    <w:tmpl w:val="11C883C6"/>
    <w:lvl w:ilvl="0" w:tplc="229E5C2C">
      <w:start w:val="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CDE2EC6"/>
    <w:multiLevelType w:val="hybridMultilevel"/>
    <w:tmpl w:val="672A5654"/>
    <w:lvl w:ilvl="0" w:tplc="61A43C22">
      <w:start w:val="1"/>
      <w:numFmt w:val="lowerLetter"/>
      <w:lvlText w:val="%1)"/>
      <w:lvlJc w:val="left"/>
      <w:pPr>
        <w:ind w:left="405" w:hanging="360"/>
      </w:pPr>
      <w:rPr>
        <w:rFonts w:hint="default"/>
      </w:rPr>
    </w:lvl>
    <w:lvl w:ilvl="1" w:tplc="140A0019" w:tentative="1">
      <w:start w:val="1"/>
      <w:numFmt w:val="lowerLetter"/>
      <w:lvlText w:val="%2."/>
      <w:lvlJc w:val="left"/>
      <w:pPr>
        <w:ind w:left="1125" w:hanging="360"/>
      </w:pPr>
    </w:lvl>
    <w:lvl w:ilvl="2" w:tplc="140A001B" w:tentative="1">
      <w:start w:val="1"/>
      <w:numFmt w:val="lowerRoman"/>
      <w:lvlText w:val="%3."/>
      <w:lvlJc w:val="right"/>
      <w:pPr>
        <w:ind w:left="1845" w:hanging="180"/>
      </w:pPr>
    </w:lvl>
    <w:lvl w:ilvl="3" w:tplc="140A000F" w:tentative="1">
      <w:start w:val="1"/>
      <w:numFmt w:val="decimal"/>
      <w:lvlText w:val="%4."/>
      <w:lvlJc w:val="left"/>
      <w:pPr>
        <w:ind w:left="2565" w:hanging="360"/>
      </w:pPr>
    </w:lvl>
    <w:lvl w:ilvl="4" w:tplc="140A0019" w:tentative="1">
      <w:start w:val="1"/>
      <w:numFmt w:val="lowerLetter"/>
      <w:lvlText w:val="%5."/>
      <w:lvlJc w:val="left"/>
      <w:pPr>
        <w:ind w:left="3285" w:hanging="360"/>
      </w:pPr>
    </w:lvl>
    <w:lvl w:ilvl="5" w:tplc="140A001B" w:tentative="1">
      <w:start w:val="1"/>
      <w:numFmt w:val="lowerRoman"/>
      <w:lvlText w:val="%6."/>
      <w:lvlJc w:val="right"/>
      <w:pPr>
        <w:ind w:left="4005" w:hanging="180"/>
      </w:pPr>
    </w:lvl>
    <w:lvl w:ilvl="6" w:tplc="140A000F" w:tentative="1">
      <w:start w:val="1"/>
      <w:numFmt w:val="decimal"/>
      <w:lvlText w:val="%7."/>
      <w:lvlJc w:val="left"/>
      <w:pPr>
        <w:ind w:left="4725" w:hanging="360"/>
      </w:pPr>
    </w:lvl>
    <w:lvl w:ilvl="7" w:tplc="140A0019" w:tentative="1">
      <w:start w:val="1"/>
      <w:numFmt w:val="lowerLetter"/>
      <w:lvlText w:val="%8."/>
      <w:lvlJc w:val="left"/>
      <w:pPr>
        <w:ind w:left="5445" w:hanging="360"/>
      </w:pPr>
    </w:lvl>
    <w:lvl w:ilvl="8" w:tplc="140A001B" w:tentative="1">
      <w:start w:val="1"/>
      <w:numFmt w:val="lowerRoman"/>
      <w:lvlText w:val="%9."/>
      <w:lvlJc w:val="right"/>
      <w:pPr>
        <w:ind w:left="6165" w:hanging="180"/>
      </w:pPr>
    </w:lvl>
  </w:abstractNum>
  <w:abstractNum w:abstractNumId="5" w15:restartNumberingAfterBreak="0">
    <w:nsid w:val="2474319F"/>
    <w:multiLevelType w:val="hybridMultilevel"/>
    <w:tmpl w:val="44FCF8A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99A2CDA"/>
    <w:multiLevelType w:val="hybridMultilevel"/>
    <w:tmpl w:val="E0525F88"/>
    <w:lvl w:ilvl="0" w:tplc="140A000F">
      <w:start w:val="1"/>
      <w:numFmt w:val="decimal"/>
      <w:lvlText w:val="%1."/>
      <w:lvlJc w:val="left"/>
      <w:pPr>
        <w:ind w:left="765" w:hanging="360"/>
      </w:pPr>
    </w:lvl>
    <w:lvl w:ilvl="1" w:tplc="140A0019" w:tentative="1">
      <w:start w:val="1"/>
      <w:numFmt w:val="lowerLetter"/>
      <w:lvlText w:val="%2."/>
      <w:lvlJc w:val="left"/>
      <w:pPr>
        <w:ind w:left="1485" w:hanging="360"/>
      </w:pPr>
    </w:lvl>
    <w:lvl w:ilvl="2" w:tplc="140A001B" w:tentative="1">
      <w:start w:val="1"/>
      <w:numFmt w:val="lowerRoman"/>
      <w:lvlText w:val="%3."/>
      <w:lvlJc w:val="right"/>
      <w:pPr>
        <w:ind w:left="2205" w:hanging="180"/>
      </w:pPr>
    </w:lvl>
    <w:lvl w:ilvl="3" w:tplc="140A000F" w:tentative="1">
      <w:start w:val="1"/>
      <w:numFmt w:val="decimal"/>
      <w:lvlText w:val="%4."/>
      <w:lvlJc w:val="left"/>
      <w:pPr>
        <w:ind w:left="2925" w:hanging="360"/>
      </w:pPr>
    </w:lvl>
    <w:lvl w:ilvl="4" w:tplc="140A0019" w:tentative="1">
      <w:start w:val="1"/>
      <w:numFmt w:val="lowerLetter"/>
      <w:lvlText w:val="%5."/>
      <w:lvlJc w:val="left"/>
      <w:pPr>
        <w:ind w:left="3645" w:hanging="360"/>
      </w:pPr>
    </w:lvl>
    <w:lvl w:ilvl="5" w:tplc="140A001B" w:tentative="1">
      <w:start w:val="1"/>
      <w:numFmt w:val="lowerRoman"/>
      <w:lvlText w:val="%6."/>
      <w:lvlJc w:val="right"/>
      <w:pPr>
        <w:ind w:left="4365" w:hanging="180"/>
      </w:pPr>
    </w:lvl>
    <w:lvl w:ilvl="6" w:tplc="140A000F" w:tentative="1">
      <w:start w:val="1"/>
      <w:numFmt w:val="decimal"/>
      <w:lvlText w:val="%7."/>
      <w:lvlJc w:val="left"/>
      <w:pPr>
        <w:ind w:left="5085" w:hanging="360"/>
      </w:pPr>
    </w:lvl>
    <w:lvl w:ilvl="7" w:tplc="140A0019" w:tentative="1">
      <w:start w:val="1"/>
      <w:numFmt w:val="lowerLetter"/>
      <w:lvlText w:val="%8."/>
      <w:lvlJc w:val="left"/>
      <w:pPr>
        <w:ind w:left="5805" w:hanging="360"/>
      </w:pPr>
    </w:lvl>
    <w:lvl w:ilvl="8" w:tplc="140A001B" w:tentative="1">
      <w:start w:val="1"/>
      <w:numFmt w:val="lowerRoman"/>
      <w:lvlText w:val="%9."/>
      <w:lvlJc w:val="right"/>
      <w:pPr>
        <w:ind w:left="6525" w:hanging="180"/>
      </w:pPr>
    </w:lvl>
  </w:abstractNum>
  <w:abstractNum w:abstractNumId="7" w15:restartNumberingAfterBreak="0">
    <w:nsid w:val="2C6D0B0C"/>
    <w:multiLevelType w:val="hybridMultilevel"/>
    <w:tmpl w:val="A69C2954"/>
    <w:lvl w:ilvl="0" w:tplc="8586CFA8">
      <w:start w:val="1"/>
      <w:numFmt w:val="lowerRoman"/>
      <w:lvlText w:val="%1."/>
      <w:lvlJc w:val="left"/>
      <w:pPr>
        <w:ind w:left="1788" w:hanging="720"/>
      </w:pPr>
      <w:rPr>
        <w:rFonts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8" w15:restartNumberingAfterBreak="0">
    <w:nsid w:val="2C7A735F"/>
    <w:multiLevelType w:val="hybridMultilevel"/>
    <w:tmpl w:val="92C64EA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C83542C"/>
    <w:multiLevelType w:val="hybridMultilevel"/>
    <w:tmpl w:val="0E3217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F4F36AD"/>
    <w:multiLevelType w:val="hybridMultilevel"/>
    <w:tmpl w:val="B6124B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3ED3C71"/>
    <w:multiLevelType w:val="hybridMultilevel"/>
    <w:tmpl w:val="AB4297A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58145C6"/>
    <w:multiLevelType w:val="hybridMultilevel"/>
    <w:tmpl w:val="CF1E409C"/>
    <w:lvl w:ilvl="0" w:tplc="24789C4A">
      <w:start w:val="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0E15CC8"/>
    <w:multiLevelType w:val="hybridMultilevel"/>
    <w:tmpl w:val="55BC5D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57639E9"/>
    <w:multiLevelType w:val="hybridMultilevel"/>
    <w:tmpl w:val="DDCA326E"/>
    <w:lvl w:ilvl="0" w:tplc="81FE94D2">
      <w:start w:val="1"/>
      <w:numFmt w:val="low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5" w15:restartNumberingAfterBreak="0">
    <w:nsid w:val="66004C16"/>
    <w:multiLevelType w:val="hybridMultilevel"/>
    <w:tmpl w:val="56C644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C3A29C5"/>
    <w:multiLevelType w:val="hybridMultilevel"/>
    <w:tmpl w:val="178A783E"/>
    <w:lvl w:ilvl="0" w:tplc="24789C4A">
      <w:start w:val="2"/>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C9E36CA"/>
    <w:multiLevelType w:val="hybridMultilevel"/>
    <w:tmpl w:val="F8D00EDC"/>
    <w:lvl w:ilvl="0" w:tplc="176E327C">
      <w:start w:val="1"/>
      <w:numFmt w:val="lowerRoman"/>
      <w:lvlText w:val="%1."/>
      <w:lvlJc w:val="left"/>
      <w:pPr>
        <w:ind w:left="1473" w:hanging="720"/>
      </w:pPr>
      <w:rPr>
        <w:rFonts w:hint="default"/>
      </w:rPr>
    </w:lvl>
    <w:lvl w:ilvl="1" w:tplc="F71A5D7C">
      <w:start w:val="1"/>
      <w:numFmt w:val="decimal"/>
      <w:lvlText w:val="%2."/>
      <w:lvlJc w:val="left"/>
      <w:pPr>
        <w:ind w:left="1833" w:hanging="360"/>
      </w:pPr>
      <w:rPr>
        <w:rFonts w:hint="default"/>
      </w:rPr>
    </w:lvl>
    <w:lvl w:ilvl="2" w:tplc="140A001B" w:tentative="1">
      <w:start w:val="1"/>
      <w:numFmt w:val="lowerRoman"/>
      <w:lvlText w:val="%3."/>
      <w:lvlJc w:val="right"/>
      <w:pPr>
        <w:ind w:left="2553" w:hanging="180"/>
      </w:pPr>
    </w:lvl>
    <w:lvl w:ilvl="3" w:tplc="140A000F" w:tentative="1">
      <w:start w:val="1"/>
      <w:numFmt w:val="decimal"/>
      <w:lvlText w:val="%4."/>
      <w:lvlJc w:val="left"/>
      <w:pPr>
        <w:ind w:left="3273" w:hanging="360"/>
      </w:pPr>
    </w:lvl>
    <w:lvl w:ilvl="4" w:tplc="140A0019" w:tentative="1">
      <w:start w:val="1"/>
      <w:numFmt w:val="lowerLetter"/>
      <w:lvlText w:val="%5."/>
      <w:lvlJc w:val="left"/>
      <w:pPr>
        <w:ind w:left="3993" w:hanging="360"/>
      </w:pPr>
    </w:lvl>
    <w:lvl w:ilvl="5" w:tplc="140A001B" w:tentative="1">
      <w:start w:val="1"/>
      <w:numFmt w:val="lowerRoman"/>
      <w:lvlText w:val="%6."/>
      <w:lvlJc w:val="right"/>
      <w:pPr>
        <w:ind w:left="4713" w:hanging="180"/>
      </w:pPr>
    </w:lvl>
    <w:lvl w:ilvl="6" w:tplc="140A000F" w:tentative="1">
      <w:start w:val="1"/>
      <w:numFmt w:val="decimal"/>
      <w:lvlText w:val="%7."/>
      <w:lvlJc w:val="left"/>
      <w:pPr>
        <w:ind w:left="5433" w:hanging="360"/>
      </w:pPr>
    </w:lvl>
    <w:lvl w:ilvl="7" w:tplc="140A0019" w:tentative="1">
      <w:start w:val="1"/>
      <w:numFmt w:val="lowerLetter"/>
      <w:lvlText w:val="%8."/>
      <w:lvlJc w:val="left"/>
      <w:pPr>
        <w:ind w:left="6153" w:hanging="360"/>
      </w:pPr>
    </w:lvl>
    <w:lvl w:ilvl="8" w:tplc="140A001B" w:tentative="1">
      <w:start w:val="1"/>
      <w:numFmt w:val="lowerRoman"/>
      <w:lvlText w:val="%9."/>
      <w:lvlJc w:val="right"/>
      <w:pPr>
        <w:ind w:left="6873" w:hanging="180"/>
      </w:pPr>
    </w:lvl>
  </w:abstractNum>
  <w:abstractNum w:abstractNumId="18" w15:restartNumberingAfterBreak="0">
    <w:nsid w:val="77873991"/>
    <w:multiLevelType w:val="hybridMultilevel"/>
    <w:tmpl w:val="3E88591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E33646F"/>
    <w:multiLevelType w:val="hybridMultilevel"/>
    <w:tmpl w:val="3876D5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EE43ED3"/>
    <w:multiLevelType w:val="hybridMultilevel"/>
    <w:tmpl w:val="E06E851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num>
  <w:num w:numId="2">
    <w:abstractNumId w:val="2"/>
  </w:num>
  <w:num w:numId="3">
    <w:abstractNumId w:val="15"/>
  </w:num>
  <w:num w:numId="4">
    <w:abstractNumId w:val="8"/>
  </w:num>
  <w:num w:numId="5">
    <w:abstractNumId w:val="11"/>
  </w:num>
  <w:num w:numId="6">
    <w:abstractNumId w:val="14"/>
  </w:num>
  <w:num w:numId="7">
    <w:abstractNumId w:val="10"/>
  </w:num>
  <w:num w:numId="8">
    <w:abstractNumId w:val="12"/>
  </w:num>
  <w:num w:numId="9">
    <w:abstractNumId w:val="20"/>
  </w:num>
  <w:num w:numId="10">
    <w:abstractNumId w:val="9"/>
  </w:num>
  <w:num w:numId="11">
    <w:abstractNumId w:val="16"/>
  </w:num>
  <w:num w:numId="12">
    <w:abstractNumId w:val="18"/>
  </w:num>
  <w:num w:numId="13">
    <w:abstractNumId w:val="5"/>
  </w:num>
  <w:num w:numId="14">
    <w:abstractNumId w:val="1"/>
  </w:num>
  <w:num w:numId="15">
    <w:abstractNumId w:val="7"/>
  </w:num>
  <w:num w:numId="16">
    <w:abstractNumId w:val="17"/>
  </w:num>
  <w:num w:numId="17">
    <w:abstractNumId w:val="13"/>
  </w:num>
  <w:num w:numId="18">
    <w:abstractNumId w:val="0"/>
  </w:num>
  <w:num w:numId="19">
    <w:abstractNumId w:val="6"/>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7F"/>
    <w:rsid w:val="000C70A3"/>
    <w:rsid w:val="0011237F"/>
    <w:rsid w:val="0017189D"/>
    <w:rsid w:val="00173EA3"/>
    <w:rsid w:val="001A5876"/>
    <w:rsid w:val="001C6D49"/>
    <w:rsid w:val="002032BA"/>
    <w:rsid w:val="002549A9"/>
    <w:rsid w:val="002A1A21"/>
    <w:rsid w:val="002B6138"/>
    <w:rsid w:val="00385829"/>
    <w:rsid w:val="003A7D7E"/>
    <w:rsid w:val="003D0626"/>
    <w:rsid w:val="004769EE"/>
    <w:rsid w:val="004B19CC"/>
    <w:rsid w:val="00501F55"/>
    <w:rsid w:val="005040F6"/>
    <w:rsid w:val="00531EB1"/>
    <w:rsid w:val="005871AA"/>
    <w:rsid w:val="006A2E8E"/>
    <w:rsid w:val="006C03F3"/>
    <w:rsid w:val="0073679A"/>
    <w:rsid w:val="00746BFC"/>
    <w:rsid w:val="00813251"/>
    <w:rsid w:val="008A0E2A"/>
    <w:rsid w:val="00976082"/>
    <w:rsid w:val="00980E65"/>
    <w:rsid w:val="00A84E6B"/>
    <w:rsid w:val="00B37041"/>
    <w:rsid w:val="00B55EA5"/>
    <w:rsid w:val="00BA1AC3"/>
    <w:rsid w:val="00C02725"/>
    <w:rsid w:val="00C40D03"/>
    <w:rsid w:val="00C7357A"/>
    <w:rsid w:val="00CA11B1"/>
    <w:rsid w:val="00CC7845"/>
    <w:rsid w:val="00D20EF8"/>
    <w:rsid w:val="00E07A3B"/>
    <w:rsid w:val="00E926CC"/>
    <w:rsid w:val="00EC5303"/>
    <w:rsid w:val="00F054A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3B5C"/>
  <w15:chartTrackingRefBased/>
  <w15:docId w15:val="{D13D0190-0590-4C96-91C0-483B8465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F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237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1237F"/>
    <w:pPr>
      <w:ind w:left="720"/>
      <w:contextualSpacing/>
    </w:pPr>
  </w:style>
  <w:style w:type="paragraph" w:styleId="BodyText">
    <w:name w:val="Body Text"/>
    <w:basedOn w:val="Normal"/>
    <w:link w:val="BodyTextChar"/>
    <w:uiPriority w:val="99"/>
    <w:unhideWhenUsed/>
    <w:rsid w:val="0011237F"/>
    <w:pPr>
      <w:spacing w:after="120"/>
    </w:pPr>
  </w:style>
  <w:style w:type="character" w:customStyle="1" w:styleId="BodyTextChar">
    <w:name w:val="Body Text Char"/>
    <w:basedOn w:val="DefaultParagraphFont"/>
    <w:link w:val="BodyText"/>
    <w:uiPriority w:val="99"/>
    <w:rsid w:val="0011237F"/>
  </w:style>
  <w:style w:type="paragraph" w:styleId="FootnoteText">
    <w:name w:val="footnote text"/>
    <w:basedOn w:val="Normal"/>
    <w:link w:val="FootnoteTextChar"/>
    <w:uiPriority w:val="99"/>
    <w:semiHidden/>
    <w:unhideWhenUsed/>
    <w:rsid w:val="003858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829"/>
    <w:rPr>
      <w:sz w:val="20"/>
      <w:szCs w:val="20"/>
    </w:rPr>
  </w:style>
  <w:style w:type="character" w:styleId="FootnoteReference">
    <w:name w:val="footnote reference"/>
    <w:basedOn w:val="DefaultParagraphFont"/>
    <w:uiPriority w:val="99"/>
    <w:semiHidden/>
    <w:unhideWhenUsed/>
    <w:rsid w:val="003858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03104">
      <w:bodyDiv w:val="1"/>
      <w:marLeft w:val="0"/>
      <w:marRight w:val="0"/>
      <w:marTop w:val="0"/>
      <w:marBottom w:val="0"/>
      <w:divBdr>
        <w:top w:val="none" w:sz="0" w:space="0" w:color="auto"/>
        <w:left w:val="none" w:sz="0" w:space="0" w:color="auto"/>
        <w:bottom w:val="none" w:sz="0" w:space="0" w:color="auto"/>
        <w:right w:val="none" w:sz="0" w:space="0" w:color="auto"/>
      </w:divBdr>
    </w:div>
    <w:div w:id="744186722">
      <w:bodyDiv w:val="1"/>
      <w:marLeft w:val="0"/>
      <w:marRight w:val="0"/>
      <w:marTop w:val="0"/>
      <w:marBottom w:val="0"/>
      <w:divBdr>
        <w:top w:val="none" w:sz="0" w:space="0" w:color="auto"/>
        <w:left w:val="none" w:sz="0" w:space="0" w:color="auto"/>
        <w:bottom w:val="none" w:sz="0" w:space="0" w:color="auto"/>
        <w:right w:val="none" w:sz="0" w:space="0" w:color="auto"/>
      </w:divBdr>
    </w:div>
    <w:div w:id="809445227">
      <w:bodyDiv w:val="1"/>
      <w:marLeft w:val="0"/>
      <w:marRight w:val="0"/>
      <w:marTop w:val="0"/>
      <w:marBottom w:val="0"/>
      <w:divBdr>
        <w:top w:val="none" w:sz="0" w:space="0" w:color="auto"/>
        <w:left w:val="none" w:sz="0" w:space="0" w:color="auto"/>
        <w:bottom w:val="none" w:sz="0" w:space="0" w:color="auto"/>
        <w:right w:val="none" w:sz="0" w:space="0" w:color="auto"/>
      </w:divBdr>
    </w:div>
    <w:div w:id="1391033094">
      <w:bodyDiv w:val="1"/>
      <w:marLeft w:val="0"/>
      <w:marRight w:val="0"/>
      <w:marTop w:val="0"/>
      <w:marBottom w:val="0"/>
      <w:divBdr>
        <w:top w:val="none" w:sz="0" w:space="0" w:color="auto"/>
        <w:left w:val="none" w:sz="0" w:space="0" w:color="auto"/>
        <w:bottom w:val="none" w:sz="0" w:space="0" w:color="auto"/>
        <w:right w:val="none" w:sz="0" w:space="0" w:color="auto"/>
      </w:divBdr>
    </w:div>
    <w:div w:id="18053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8DB35-78BD-4E37-B567-535BE093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1039</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Eduardo Jiménez Alpízar</dc:creator>
  <cp:keywords/>
  <dc:description/>
  <cp:lastModifiedBy>Allan Eduardo Jiménez Alpízar</cp:lastModifiedBy>
  <cp:revision>22</cp:revision>
  <dcterms:created xsi:type="dcterms:W3CDTF">2020-08-14T19:42:00Z</dcterms:created>
  <dcterms:modified xsi:type="dcterms:W3CDTF">2020-12-15T00:28:00Z</dcterms:modified>
</cp:coreProperties>
</file>